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FD1E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PS</w:t>
                            </w:r>
                            <w:r w:rsidR="007D3773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M8WJB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FD1E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PS</w:t>
                      </w:r>
                      <w:r w:rsidR="007D3773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M8WJB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1E508E" w:rsidRDefault="00FD1ED1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D1ED1">
        <w:rPr>
          <w:rFonts w:ascii="FuturaA Bk BT;Century Gothic" w:hAnsi="FuturaA Bk BT;Century Gothic"/>
          <w:sz w:val="32"/>
          <w:szCs w:val="32"/>
        </w:rPr>
        <w:t>Sicherheitssprechstelle</w:t>
      </w:r>
      <w:proofErr w:type="spellEnd"/>
      <w:r w:rsidR="003C11C2" w:rsidRPr="003C11C2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3C11C2" w:rsidRDefault="001E508E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r w:rsidR="007D3773">
        <w:rPr>
          <w:rFonts w:ascii="FuturaA Bk BT;Century Gothic" w:hAnsi="FuturaA Bk BT;Century Gothic"/>
          <w:sz w:val="32"/>
          <w:szCs w:val="32"/>
        </w:rPr>
        <w:t xml:space="preserve">10 </w:t>
      </w:r>
      <w:proofErr w:type="spellStart"/>
      <w:r w:rsidR="007D3773">
        <w:rPr>
          <w:rFonts w:ascii="FuturaA Bk BT;Century Gothic" w:hAnsi="FuturaA Bk BT;Century Gothic"/>
          <w:sz w:val="32"/>
          <w:szCs w:val="32"/>
        </w:rPr>
        <w:t>Tasten</w:t>
      </w:r>
      <w:proofErr w:type="spellEnd"/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Tischsprechstelle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elektroakustischen Notfallwarnsystemen (ENS) in Konformität mit EN 60849 und BS 5839 mit 10 Tasten. Das Gerät bildet die Schnittstelle zwischen Mensch und Maschine (MMS) und kann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7D3773" w:rsidRP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Kundenwunsch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realisiert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So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bequem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Zugriff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7D3773" w:rsidRP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Jingles in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ausgewählte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vorprogrammierte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Programmquellen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auszuwählen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den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betreffenden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einzustellen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Display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besetzte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Betriebszustand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Anlage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Störungsmeldungen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LED.</w:t>
          </w:r>
        </w:p>
        <w:p w:rsidR="007D3773" w:rsidRP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7D3773" w:rsidRPr="007D3773" w:rsidRDefault="007D3773" w:rsidP="007D3773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Mikrofonkapsel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Audio- und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Daten-Leitungen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kontinuierlich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akustisch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optisch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erfolgt über die Master Einheit. </w:t>
          </w:r>
        </w:p>
        <w:p w:rsidR="007D3773" w:rsidRPr="00FD1ED1" w:rsidRDefault="007D3773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3C11C2" w:rsidRPr="00FD1ED1" w:rsidRDefault="003C11C2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3C11C2" w:rsidRPr="00FD1ED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Platzsparendes, zeitloses Design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zu 8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Eine Audiodatei kann als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Vorgong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definiert werden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Gruppenruf und Sammelruf, Programmzuordnung auf einzelne Zonen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Programmwahl, Ein-/Aus-Tasten für einzelne Zonen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von digitalen Texten, Gongs und Jingles mit vordefinierter Zonenzuweisung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Integrierter Monitorlautsprecher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LED-Anzeige des Systemstatus (Betriebsspannung, Störung/Fehler) </w:t>
          </w:r>
        </w:p>
        <w:p w:rsidR="007D3773" w:rsidRPr="007D3773" w:rsidRDefault="007D3773" w:rsidP="007D377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Programmierung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IDA4M/SW </w:t>
          </w:r>
          <w:proofErr w:type="spellStart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oder</w:t>
          </w:r>
          <w:proofErr w:type="spellEnd"/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DIVA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</w:t>
          </w:r>
          <w:r w:rsidRPr="007D377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8M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G2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Pr="00A25DAA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7D3773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100 mA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Frequenzbereich: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20 Hz bis 20k</w:t>
                </w:r>
                <w:r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 </w:t>
                </w: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F46443" w:rsidRPr="003A39BC" w:rsidTr="007F6062">
            <w:tc>
              <w:tcPr>
                <w:tcW w:w="4386" w:type="dxa"/>
                <w:vAlign w:val="center"/>
              </w:tcPr>
              <w:p w:rsidR="00F46443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F46443" w:rsidRPr="00FD1ED1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0,775 V (max.)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AT"/>
                  </w:rPr>
                </w:pPr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1E508E" w:rsidRDefault="007D3773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Sprachtaste: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7D3773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Sammelruftaste/ „Auswahl lösch Taste“: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7D3773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1</w:t>
                </w:r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Frei konfigurierbare Tasten: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7D3773" w:rsidRPr="003A39BC" w:rsidTr="007D3773">
            <w:trPr>
              <w:trHeight w:val="454"/>
            </w:trPr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LED, </w:t>
                </w:r>
                <w:proofErr w:type="spellStart"/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gelb</w:t>
                </w:r>
                <w:proofErr w:type="spellEnd"/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Evac: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LED, rot</w:t>
                </w:r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LED x 8, </w:t>
                </w:r>
                <w:proofErr w:type="spellStart"/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grün</w:t>
                </w:r>
                <w:proofErr w:type="spellEnd"/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LED x 8, </w:t>
                </w:r>
                <w:proofErr w:type="spellStart"/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gelb</w:t>
                </w:r>
                <w:proofErr w:type="spellEnd"/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All/ Release: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LED, </w:t>
                </w:r>
                <w:proofErr w:type="spellStart"/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grün</w:t>
                </w:r>
                <w:proofErr w:type="spellEnd"/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Talk: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LED, </w:t>
                </w:r>
                <w:proofErr w:type="spellStart"/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grün</w:t>
                </w:r>
                <w:proofErr w:type="spellEnd"/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PS</w:t>
                </w:r>
                <w:r w:rsidR="007D3773">
                  <w:rPr>
                    <w:rFonts w:ascii="Arial" w:hAnsi="Arial" w:cs="Arial"/>
                    <w:sz w:val="20"/>
                    <w:szCs w:val="20"/>
                  </w:rPr>
                  <w:t>M8WJB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BF6B6F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6B6F" w:rsidRDefault="00BF6B6F" w:rsidP="0051148C">
      <w:r>
        <w:separator/>
      </w:r>
    </w:p>
  </w:endnote>
  <w:endnote w:type="continuationSeparator" w:id="0">
    <w:p w:rsidR="00BF6B6F" w:rsidRDefault="00BF6B6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6B6F" w:rsidRDefault="00BF6B6F" w:rsidP="0051148C">
      <w:r>
        <w:separator/>
      </w:r>
    </w:p>
  </w:footnote>
  <w:footnote w:type="continuationSeparator" w:id="0">
    <w:p w:rsidR="00BF6B6F" w:rsidRDefault="00BF6B6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FD1E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PS</w:t>
              </w:r>
              <w:r w:rsidR="007D3773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M8WJB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7D3773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PSM8WJB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79B3"/>
    <w:rsid w:val="00060EEE"/>
    <w:rsid w:val="000621C5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2C63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B7A0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773"/>
    <w:rsid w:val="007D3D3A"/>
    <w:rsid w:val="007E02AE"/>
    <w:rsid w:val="007E0BA3"/>
    <w:rsid w:val="007E215A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2BE1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BF6B6F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4D8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281E"/>
    <w:rsid w:val="00EB5DF9"/>
    <w:rsid w:val="00EB6C59"/>
    <w:rsid w:val="00EB79B1"/>
    <w:rsid w:val="00EC7B50"/>
    <w:rsid w:val="00ED1F93"/>
    <w:rsid w:val="00ED4981"/>
    <w:rsid w:val="00ED4E3B"/>
    <w:rsid w:val="00EF11B4"/>
    <w:rsid w:val="00EF27AD"/>
    <w:rsid w:val="00F118DE"/>
    <w:rsid w:val="00F14032"/>
    <w:rsid w:val="00F1560E"/>
    <w:rsid w:val="00F158EF"/>
    <w:rsid w:val="00F210D4"/>
    <w:rsid w:val="00F374DB"/>
    <w:rsid w:val="00F4432B"/>
    <w:rsid w:val="00F45FBE"/>
    <w:rsid w:val="00F46443"/>
    <w:rsid w:val="00F710F0"/>
    <w:rsid w:val="00F75967"/>
    <w:rsid w:val="00F9503E"/>
    <w:rsid w:val="00F95CBE"/>
    <w:rsid w:val="00FB02C6"/>
    <w:rsid w:val="00FB3B36"/>
    <w:rsid w:val="00FB4E47"/>
    <w:rsid w:val="00FD1ED1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E46CB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PSS-G2E             A&amp;I Spezifikation</vt:lpstr>
      <vt:lpstr>BOUTIQUE           A&amp;E Specification</vt:lpstr>
    </vt:vector>
  </TitlesOfParts>
  <Company>Toshiba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PSM8WJB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2020-03-24T11:31:00Z</dcterms:created>
  <dcterms:modified xsi:type="dcterms:W3CDTF">2020-03-24T11:41:00Z</dcterms:modified>
</cp:coreProperties>
</file>